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徳島県</w:t>
      </w:r>
      <w:r>
        <w:rPr>
          <w:rFonts w:hint="eastAsia" w:ascii="ＭＳ 明朝" w:hAnsi="ＭＳ 明朝" w:eastAsia="ＭＳ 明朝"/>
          <w:color w:val="000000"/>
          <w:sz w:val="24"/>
        </w:rPr>
        <w:t>阿波市長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line="240" w:lineRule="atLeast"/>
        <w:ind w:leftChars="0" w:firstLine="0" w:firstLineChars="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162</Characters>
  <Application>JUST Note</Application>
  <Lines>22</Lines>
  <Paragraphs>9</Paragraphs>
  <CharactersWithSpaces>264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兼松 康介</cp:lastModifiedBy>
  <dcterms:modified xsi:type="dcterms:W3CDTF">2025-04-14T01:12:43Z</dcterms:modified>
  <cp:revision>1</cp:revision>
</cp:coreProperties>
</file>